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33" w:rsidRPr="005A5733" w:rsidRDefault="005A5733" w:rsidP="005A5733">
      <w:pPr>
        <w:shd w:val="clear" w:color="auto" w:fill="FFFFFF"/>
        <w:spacing w:after="0" w:line="240" w:lineRule="auto"/>
        <w:jc w:val="center"/>
        <w:rPr>
          <w:rFonts w:ascii="Helvetica" w:eastAsia="Times New Roman" w:hAnsi="Helvetica" w:cs="Helvetica"/>
          <w:color w:val="515153"/>
          <w:sz w:val="21"/>
          <w:szCs w:val="21"/>
          <w:lang w:eastAsia="ru-RU"/>
        </w:rPr>
      </w:pPr>
      <w:r w:rsidRPr="005A5733">
        <w:rPr>
          <w:rFonts w:ascii="Tahoma" w:eastAsia="Times New Roman" w:hAnsi="Tahoma" w:cs="Tahoma"/>
          <w:b/>
          <w:bCs/>
          <w:i/>
          <w:iCs/>
          <w:color w:val="515153"/>
          <w:sz w:val="27"/>
          <w:szCs w:val="27"/>
          <w:lang w:eastAsia="ru-RU"/>
        </w:rPr>
        <w:t>Правовое обоснование возможности самостоятельных прогулок</w:t>
      </w:r>
    </w:p>
    <w:p w:rsidR="005A5733" w:rsidRPr="005A5733" w:rsidRDefault="005A5733" w:rsidP="005A5733">
      <w:pPr>
        <w:shd w:val="clear" w:color="auto" w:fill="FFFFFF"/>
        <w:spacing w:after="0" w:line="240" w:lineRule="auto"/>
        <w:jc w:val="center"/>
        <w:rPr>
          <w:rFonts w:ascii="Helvetica" w:eastAsia="Times New Roman" w:hAnsi="Helvetica" w:cs="Helvetica"/>
          <w:color w:val="515153"/>
          <w:sz w:val="21"/>
          <w:szCs w:val="21"/>
          <w:lang w:eastAsia="ru-RU"/>
        </w:rPr>
      </w:pPr>
      <w:r w:rsidRPr="005A5733">
        <w:rPr>
          <w:rFonts w:ascii="Tahoma" w:eastAsia="Times New Roman" w:hAnsi="Tahoma" w:cs="Tahoma"/>
          <w:b/>
          <w:bCs/>
          <w:i/>
          <w:iCs/>
          <w:color w:val="515153"/>
          <w:sz w:val="27"/>
          <w:szCs w:val="27"/>
          <w:lang w:eastAsia="ru-RU"/>
        </w:rPr>
        <w:t>детей в дневное время и противозаконности привлечения к административной ответственности родителей за самостоятельные (без сопровождения взрослого)</w:t>
      </w:r>
    </w:p>
    <w:p w:rsidR="005A5733" w:rsidRPr="005A5733" w:rsidRDefault="005A5733" w:rsidP="005A5733">
      <w:pPr>
        <w:shd w:val="clear" w:color="auto" w:fill="FFFFFF"/>
        <w:spacing w:after="0" w:line="240" w:lineRule="auto"/>
        <w:jc w:val="center"/>
        <w:rPr>
          <w:rFonts w:ascii="Helvetica" w:eastAsia="Times New Roman" w:hAnsi="Helvetica" w:cs="Helvetica"/>
          <w:color w:val="515153"/>
          <w:sz w:val="21"/>
          <w:szCs w:val="21"/>
          <w:lang w:eastAsia="ru-RU"/>
        </w:rPr>
      </w:pPr>
      <w:r w:rsidRPr="005A5733">
        <w:rPr>
          <w:rFonts w:ascii="Tahoma" w:eastAsia="Times New Roman" w:hAnsi="Tahoma" w:cs="Tahoma"/>
          <w:b/>
          <w:bCs/>
          <w:i/>
          <w:iCs/>
          <w:color w:val="515153"/>
          <w:sz w:val="27"/>
          <w:szCs w:val="27"/>
          <w:lang w:eastAsia="ru-RU"/>
        </w:rPr>
        <w:t> прогулки их детей</w:t>
      </w:r>
    </w:p>
    <w:p w:rsidR="005A5733" w:rsidRPr="005A5733" w:rsidRDefault="005A5733" w:rsidP="005A5733">
      <w:pPr>
        <w:shd w:val="clear" w:color="auto" w:fill="FFFFFF"/>
        <w:spacing w:after="0" w:line="240" w:lineRule="auto"/>
        <w:jc w:val="center"/>
        <w:rPr>
          <w:rFonts w:ascii="Helvetica" w:eastAsia="Times New Roman" w:hAnsi="Helvetica" w:cs="Helvetica"/>
          <w:color w:val="515153"/>
          <w:sz w:val="21"/>
          <w:szCs w:val="21"/>
          <w:lang w:eastAsia="ru-RU"/>
        </w:rPr>
      </w:pPr>
      <w:r w:rsidRPr="005A5733">
        <w:rPr>
          <w:rFonts w:ascii="Tahoma" w:eastAsia="Times New Roman" w:hAnsi="Tahoma" w:cs="Tahoma"/>
          <w:b/>
          <w:bCs/>
          <w:i/>
          <w:iCs/>
          <w:color w:val="515153"/>
          <w:sz w:val="27"/>
          <w:szCs w:val="27"/>
          <w:lang w:eastAsia="ru-RU"/>
        </w:rPr>
        <w:t> </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Несовершеннолетним в Российской Федерации считается лицо, не достигшее 18-летнего возраста, поэтому дети – это все, кто младше 18 лет: и  дошкольники, и младшие школьники и подростки. В соответствии с действующим законодательством Российской Федерации вопросы определения возможности самостоятельных прогулок детей в дневное время входят в исключительную компетенцию их родителей или иных законных представителей. Указанные лица по своему усмотрению вправе определять возраст, по достижении которого, ребёнку разрешаются самостоятельные прогулки, место для прогулок, время прогулок.</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Вопреки широко распространённому убеждению органов системы профилактики безнадзорности и правонарушений несовершеннолетних (полиция по делам несовершеннолетних, органы опеки и попечительства, комиссии по делам несовершеннолетних и т.п.) детям в дневное время гулять одним можно без каких-либо ограничений по возрасту.  Относительно указанной выше позиции органов системы профилактики безнадзорности и правонарушений несовершеннолетних необходимо понимать, что она абсолютно не основана на нормах действующего законодательства, базируется в большей мере на личном представлении  конкретного сотрудника о том, что хорошо, а что плохо, а также  на западных инструкциях, содержащих откровенно ювенальные установки. Кроме того, существованию указанных убеждений способствует отсутствие юридического образования или невысокий уровень юридической грамотности специалистов органов системы профилактики безнадзорности и правонарушений несовершеннолетних.</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Однако при этом, такая позиция органов системы профилактики безнадзорности и правонарушений несовершеннолетних весьма часто становится причиной привлечения родителей самостоятельно гуляющих детей к административной ответственности по ст. 5.35 КоАП РФ. Статья 5.35 КоАП РФ предполагает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 виде предупреждения или наложения штрафа в размере от 100 до 500 рублей.</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xml:space="preserve">               Убедительно призываем максимально внимательно отнестись к привлечению к административной ответственности по ч. 1 ст. 5.35 КоАП </w:t>
      </w:r>
      <w:r w:rsidRPr="005A5733">
        <w:rPr>
          <w:rFonts w:ascii="Tahoma" w:eastAsia="Times New Roman" w:hAnsi="Tahoma" w:cs="Tahoma"/>
          <w:color w:val="515153"/>
          <w:sz w:val="27"/>
          <w:szCs w:val="27"/>
          <w:lang w:eastAsia="ru-RU"/>
        </w:rPr>
        <w:lastRenderedPageBreak/>
        <w:t>РФ и не оставлять в случае несогласия с ненадлежащим исполнением родительских обязанностей без обжалования в суд постановление комиссии по делам несовершеннолетних и защите их прав о привлечении к административной ответственности по ст. 5.35 КоАП РФ. На практике очень часто родители безразлично относятся к факту привлечения к административной ответственности по ч. 1 ст. 5.35 КоАП РФ, в ч</w:t>
      </w:r>
      <w:r w:rsidRPr="005A5733">
        <w:rPr>
          <w:rFonts w:ascii="Tahoma" w:eastAsia="Times New Roman" w:hAnsi="Tahoma" w:cs="Tahoma"/>
          <w:b/>
          <w:bCs/>
          <w:color w:val="515153"/>
          <w:sz w:val="27"/>
          <w:szCs w:val="27"/>
          <w:lang w:eastAsia="ru-RU"/>
        </w:rPr>
        <w:t>а</w:t>
      </w:r>
      <w:r w:rsidRPr="005A5733">
        <w:rPr>
          <w:rFonts w:ascii="Tahoma" w:eastAsia="Times New Roman" w:hAnsi="Tahoma" w:cs="Tahoma"/>
          <w:color w:val="515153"/>
          <w:sz w:val="27"/>
          <w:szCs w:val="27"/>
          <w:lang w:eastAsia="ru-RU"/>
        </w:rPr>
        <w:t>стности, в  связи со сравнительно небольшим размером штрафа либо вообще в связи с вынесением предупреждения. Необходимо понимать, что оплата штрафа по ст. 5.35 КоАП РФ или отсутствие обжалования постановления комиссии по делам несовершеннолетних и защите их прав, трактуется органами системы профилактики безнадзорности и правонарушений несовершеннолетних как признание родителями факта ненадлежащего исполнения родительских обязанностей. Наличие нескольких таких вот необжалованных и и/или неоплаченных штрафов и/или предупреждений на практике  может быть положено в основу иска об ограничении или лишении родительских прав. Обжалование постановления о привлечении к административной ответственности заключается в представлении в суд по месту нахождения комиссии по делам несовершеннолетних и защите их прав жалобы с обоснованием незаконности привлечения к административной ответственности, при этом оплата государственной пошлины не требуется. Жалобу необходимо подать непосредственно в суд либо можно отправить по почте ценным письмом с описью вложения. В любом случае на руках у лица, обжалующего постановление о привлечении к административной ответственности, должен остаться либо один экземпляр жалобы с отметкой суда о получении, либо опись вложения в ценное письмо с указанием на отправку жалобы на постановление о привлечении к административной ответственности с отметкой Почты России. Также необходимо обратить внимание на то, что срок обжалования постановления о привлечении к административной ответственности составляет 10 дней со дня вручения или получения копии постановления.</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При составлении жалобы можно воспользоваться представленным ниже правовым обоснованием законности самостоятельных прогулок детей в дневное время либо просто кратко в произвольной форме выразить своё несогласие с привлечением к административной ответственности.</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xml:space="preserve">               В соответствии со статьей 6 Федерального закона от 24.07.98. №124-ФЗ «Об основных гарантиях прав ребенка в Российской Федерации»: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r w:rsidRPr="005A5733">
        <w:rPr>
          <w:rFonts w:ascii="Tahoma" w:eastAsia="Times New Roman" w:hAnsi="Tahoma" w:cs="Tahoma"/>
          <w:color w:val="515153"/>
          <w:sz w:val="27"/>
          <w:szCs w:val="27"/>
          <w:lang w:eastAsia="ru-RU"/>
        </w:rPr>
        <w:lastRenderedPageBreak/>
        <w:t>кодексом Российской Федерации и другими нормативными правовыми актами Российской Федерации». На основании ст. 27 Конституции Российской Федерации ребёнок,  являясь гражданином Российской Федерации, имеет право на свободу передвижения. В соответствии с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нравственности, здоровья, прав и законных интересов других лиц. Ограничения свободы передвижения несовершеннолетних граждан на федеральном уровне определены ст.  14.1 Федерального закона от 24.07.1998 № 124-ФЗ "Об основных гарантиях прав ребенка в Российской Федерации" в развитие указанного выше закона в Москве  действует Кодекс города Москвы об административных правонарушениях, ст. 3.12 которого установлены соответствующие ограничения  для несовершеннолетних граждан, в Московской области соответствующие ограничения установлены  ст. 4 Закона Московской области от 04.12.2009 n 148/2009-ОЗ "О мерах по предупреждению причинения вреда здоровью и развитию несовершеннолетних в Московской области", сводятся эти ограничения главным образом к следующему:</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b/>
          <w:bCs/>
          <w:color w:val="515153"/>
          <w:sz w:val="27"/>
          <w:szCs w:val="27"/>
          <w:u w:val="single"/>
          <w:lang w:eastAsia="ru-RU"/>
        </w:rPr>
        <w:t>Места, где  находится в ночное время ребёнку нельзя без сопровождения взрослых:</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1) места массового пребывания и отдыха граждан (улицы, площади, парки, скверы, стадионы, дворы, спортивные площадки, пляжи, лесопарковые зоны и другие места);</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2) места общего пользования многоквартирных домов (лифты, подъезды, лестничные площадки, чердаки, подвалы);</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3) городской и пригородный транспорт общего пользования, территории и помещения вокзалов, железнодорожных, автобусных станций;</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4) места, которые предназначены для обеспечения доступа к сети Интернет, и компьютерные игровые клубы;</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5) места, которые предназначены для реализации услуг в сфере торговли и общественного питания, для развлечения и досуга, где в установленном законом порядке предусмотрена розничная продажа алкогольной продукции, пива и напитков, изготавливаемых на его основе (рестораны, кафе, закусочные, дискотеки, развлекательные клубы).</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В Москве под ночным временем подразумевается  время с 23 до 6 часов местного времени.</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b/>
          <w:bCs/>
          <w:color w:val="515153"/>
          <w:sz w:val="27"/>
          <w:szCs w:val="27"/>
          <w:u w:val="single"/>
          <w:lang w:eastAsia="ru-RU"/>
        </w:rPr>
        <w:t>Места, где ребёнку находится нельзя в принципе даже в дневное время и даже в сопровождении взрослых:</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lastRenderedPageBreak/>
        <w:t>               Не допускается нахождение лиц, не достигших возраста 18 лет, на объектах, которые предназначены для реализации товаров только сексуального характера; в пивных ресторанах; винных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w:t>
      </w:r>
      <w:r w:rsidRPr="005A5733">
        <w:rPr>
          <w:rFonts w:ascii="Tahoma" w:eastAsia="Times New Roman" w:hAnsi="Tahoma" w:cs="Tahoma"/>
          <w:b/>
          <w:bCs/>
          <w:color w:val="515153"/>
          <w:sz w:val="27"/>
          <w:szCs w:val="27"/>
          <w:lang w:eastAsia="ru-RU"/>
        </w:rPr>
        <w:t>Из указанного следует, что в дневное время дети могут без сопровождения родителей находиться во всех местах, не отнесенных в установленном действующим законодательством порядке к числу мест, нахождение в которых может причинить вред здоровью детей, их физическому, интеллектуальному, психическому, духовному и нравственному развитию (перечни указанных мест могут определятся специально создаваемыми для этого комиссиями). Таким образом, нахождение детей без сопровождения родителей на улицах города, в скверах, парках, на детских площадках, в общественном транспорте и т.п. не является противозаконным, а, следовательно, не может быть наказуемо посредством применения мер административной ответственности.</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Отдельно необходимо сказать о том, что в соответствии со ст. 38 ч. 2 Конституции РФ забота о детях и их воспитании является равным правом и обязанностью их родителей. Ст. 63 п. 1 Семейного кодекса РФ при этом устанавливает: «Родители имеют преимущественное право на обучение и воспитание своих детей перед всеми другими лицами».</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Статья 5 Конвенции о правах ребенка (одобрена Генеральной Ассамблеей ООН 20.11.1989) (вступила в силу для СССР 15.09.1990) предусматривает, что государства - участники уважают права и обязанности родителей должным образом управлять и руководить ребенком.</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При этом ст. 1 п. 1 Семейного кодекса РФ устанавливает, что «семейное законодательство исходит из …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П. 2 той же статьи 1 Семейного кодекса РФ указывает, что «регулирование семейных отношений осуществляется в соответствии с принципами «разрешения внутрисемейных вопросов по взаимному согласию, приоритета семейного воспитания детей».</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xml:space="preserve">               Согласно ст. 65 Семейного кодекса Российской Федерации все вопросы, касающиеся воспитания и образования детей, решаются </w:t>
      </w:r>
      <w:r w:rsidRPr="005A5733">
        <w:rPr>
          <w:rFonts w:ascii="Tahoma" w:eastAsia="Times New Roman" w:hAnsi="Tahoma" w:cs="Tahoma"/>
          <w:color w:val="515153"/>
          <w:sz w:val="27"/>
          <w:szCs w:val="27"/>
          <w:lang w:eastAsia="ru-RU"/>
        </w:rPr>
        <w:lastRenderedPageBreak/>
        <w:t>родителями по их взаимному согласованию исходя из интересов детей и с учетом мнения детей.</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Таким образом, именно родители в установленных Конституцией РФ и действующим законодательством рамках решают вопросы, касающиеся воспитания детей, руководят их поведением, в частности, вправе определять, где и когда они могут гулять, в сопровождении родителей или иных родственников или без такого сопровождения, если это не нарушает нормы действующего законодательства.</w:t>
      </w:r>
    </w:p>
    <w:p w:rsidR="005A5733" w:rsidRPr="005A5733" w:rsidRDefault="005A5733" w:rsidP="005A5733">
      <w:pPr>
        <w:shd w:val="clear" w:color="auto" w:fill="FFFFFF"/>
        <w:spacing w:after="225" w:line="240" w:lineRule="auto"/>
        <w:jc w:val="both"/>
        <w:rPr>
          <w:rFonts w:ascii="Helvetica" w:eastAsia="Times New Roman" w:hAnsi="Helvetica" w:cs="Helvetica"/>
          <w:color w:val="515153"/>
          <w:sz w:val="21"/>
          <w:szCs w:val="21"/>
          <w:lang w:eastAsia="ru-RU"/>
        </w:rPr>
      </w:pPr>
      <w:r w:rsidRPr="005A5733">
        <w:rPr>
          <w:rFonts w:ascii="Tahoma" w:eastAsia="Times New Roman" w:hAnsi="Tahoma" w:cs="Tahoma"/>
          <w:color w:val="515153"/>
          <w:sz w:val="27"/>
          <w:szCs w:val="27"/>
          <w:lang w:eastAsia="ru-RU"/>
        </w:rPr>
        <w:t>              </w:t>
      </w:r>
    </w:p>
    <w:p w:rsidR="00CF7E4B" w:rsidRDefault="00CF7E4B">
      <w:bookmarkStart w:id="0" w:name="_GoBack"/>
      <w:bookmarkEnd w:id="0"/>
    </w:p>
    <w:sectPr w:rsidR="00CF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23"/>
    <w:rsid w:val="005A5733"/>
    <w:rsid w:val="00CF7E4B"/>
    <w:rsid w:val="00D06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2</cp:revision>
  <dcterms:created xsi:type="dcterms:W3CDTF">2020-03-03T05:58:00Z</dcterms:created>
  <dcterms:modified xsi:type="dcterms:W3CDTF">2020-03-03T05:58:00Z</dcterms:modified>
</cp:coreProperties>
</file>